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8D3B9" w14:textId="1B887AB8" w:rsidR="00FF5539" w:rsidRPr="00E94018" w:rsidRDefault="004119DA" w:rsidP="00E94018">
      <w:pPr>
        <w:spacing w:line="480" w:lineRule="auto"/>
        <w:jc w:val="center"/>
        <w:rPr>
          <w:rFonts w:ascii="Times New Roman" w:hAnsi="Times New Roman" w:cs="Times New Roman"/>
          <w:b/>
          <w:bCs/>
          <w:color w:val="000000" w:themeColor="text1"/>
          <w:sz w:val="24"/>
          <w:szCs w:val="24"/>
        </w:rPr>
      </w:pPr>
      <w:r w:rsidRPr="00E94018">
        <w:rPr>
          <w:rFonts w:ascii="Times New Roman" w:hAnsi="Times New Roman" w:cs="Times New Roman"/>
          <w:b/>
          <w:bCs/>
          <w:color w:val="000000" w:themeColor="text1"/>
          <w:sz w:val="24"/>
          <w:szCs w:val="24"/>
        </w:rPr>
        <w:t>Disaster Recovery in Healthcare</w:t>
      </w:r>
    </w:p>
    <w:p w14:paraId="5833B0B9" w14:textId="1E73992B" w:rsidR="00E94018" w:rsidRDefault="00E94018" w:rsidP="00E94018">
      <w:pPr>
        <w:pStyle w:val="ListParagraph"/>
        <w:numPr>
          <w:ilvl w:val="0"/>
          <w:numId w:val="1"/>
        </w:numPr>
        <w:spacing w:line="480" w:lineRule="auto"/>
        <w:rPr>
          <w:rFonts w:ascii="Times New Roman" w:hAnsi="Times New Roman" w:cs="Times New Roman"/>
          <w:color w:val="000000" w:themeColor="text1"/>
          <w:sz w:val="24"/>
          <w:szCs w:val="24"/>
          <w:shd w:val="clear" w:color="auto" w:fill="FFFFFF"/>
        </w:rPr>
      </w:pPr>
      <w:r w:rsidRPr="00E94018">
        <w:rPr>
          <w:rFonts w:ascii="Times New Roman" w:hAnsi="Times New Roman" w:cs="Times New Roman"/>
          <w:color w:val="000000" w:themeColor="text1"/>
          <w:sz w:val="24"/>
          <w:szCs w:val="24"/>
          <w:shd w:val="clear" w:color="auto" w:fill="FFFFFF"/>
        </w:rPr>
        <w:t>Describe at least two ways data from health care informatics systems can be saved for retrieval following a disaster.</w:t>
      </w:r>
    </w:p>
    <w:p w14:paraId="53C7BB25" w14:textId="0A9AE17F" w:rsidR="00BC6A98" w:rsidRPr="00BC6A98" w:rsidRDefault="00B256C7" w:rsidP="00185551">
      <w:pPr>
        <w:spacing w:line="480" w:lineRule="auto"/>
        <w:ind w:firstLine="36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Disasters pose a significant threat to healthcare data availability and integrity. </w:t>
      </w:r>
      <w:r w:rsidR="002B1750">
        <w:rPr>
          <w:rFonts w:ascii="Times New Roman" w:hAnsi="Times New Roman" w:cs="Times New Roman"/>
          <w:color w:val="000000" w:themeColor="text1"/>
          <w:sz w:val="24"/>
          <w:szCs w:val="24"/>
          <w:shd w:val="clear" w:color="auto" w:fill="FFFFFF"/>
        </w:rPr>
        <w:t>For this reason, it is crucial to ensure continued access to patient information and system functionality where healthcare organizations should employ recovery strategies and reliable data backup. The two ways data from healthcare informatics systems can be saved for retrieval during disaster include having cloud-based backups and physical off-site back up storage</w:t>
      </w:r>
      <w:r w:rsidR="00FD5A78">
        <w:rPr>
          <w:rFonts w:ascii="Times New Roman" w:hAnsi="Times New Roman" w:cs="Times New Roman"/>
          <w:color w:val="000000" w:themeColor="text1"/>
          <w:sz w:val="24"/>
          <w:szCs w:val="24"/>
          <w:shd w:val="clear" w:color="auto" w:fill="FFFFFF"/>
        </w:rPr>
        <w:t xml:space="preserve"> (</w:t>
      </w:r>
      <w:r w:rsidR="00FD5A78">
        <w:rPr>
          <w:rFonts w:ascii="Times New Roman" w:hAnsi="Times New Roman" w:cs="Times New Roman"/>
          <w:color w:val="000000" w:themeColor="text1"/>
          <w:sz w:val="24"/>
          <w:szCs w:val="24"/>
          <w:shd w:val="clear" w:color="auto" w:fill="FFFFFF"/>
        </w:rPr>
        <w:t>Seh et al., 2020</w:t>
      </w:r>
      <w:r w:rsidR="00FD5A78">
        <w:rPr>
          <w:rFonts w:ascii="Times New Roman" w:hAnsi="Times New Roman" w:cs="Times New Roman"/>
          <w:color w:val="000000" w:themeColor="text1"/>
          <w:sz w:val="24"/>
          <w:szCs w:val="24"/>
          <w:shd w:val="clear" w:color="auto" w:fill="FFFFFF"/>
        </w:rPr>
        <w:t>)</w:t>
      </w:r>
      <w:r w:rsidR="002B1750">
        <w:rPr>
          <w:rFonts w:ascii="Times New Roman" w:hAnsi="Times New Roman" w:cs="Times New Roman"/>
          <w:color w:val="000000" w:themeColor="text1"/>
          <w:sz w:val="24"/>
          <w:szCs w:val="24"/>
          <w:shd w:val="clear" w:color="auto" w:fill="FFFFFF"/>
        </w:rPr>
        <w:t xml:space="preserve">. </w:t>
      </w:r>
      <w:r w:rsidR="00502F3A">
        <w:rPr>
          <w:rFonts w:ascii="Times New Roman" w:hAnsi="Times New Roman" w:cs="Times New Roman"/>
          <w:color w:val="000000" w:themeColor="text1"/>
          <w:sz w:val="24"/>
          <w:szCs w:val="24"/>
          <w:shd w:val="clear" w:color="auto" w:fill="FFFFFF"/>
        </w:rPr>
        <w:t xml:space="preserve">This is because cloud storage services allow healthcare institutions to back up imaging, electronic health records and other critical data. Additionally, most cloud providers offer redundancy across various geographic locations to ensure that data remains accessible even after one server is compromised. </w:t>
      </w:r>
      <w:r w:rsidR="00CF34DB">
        <w:rPr>
          <w:rFonts w:ascii="Times New Roman" w:hAnsi="Times New Roman" w:cs="Times New Roman"/>
          <w:color w:val="000000" w:themeColor="text1"/>
          <w:sz w:val="24"/>
          <w:szCs w:val="24"/>
          <w:shd w:val="clear" w:color="auto" w:fill="FFFFFF"/>
        </w:rPr>
        <w:t>Such a method supports the principle of continuity planning, which is accessibility and redundancy (</w:t>
      </w:r>
      <w:r w:rsidR="00205837">
        <w:rPr>
          <w:rFonts w:ascii="Times New Roman" w:hAnsi="Times New Roman" w:cs="Times New Roman"/>
          <w:color w:val="000000" w:themeColor="text1"/>
          <w:sz w:val="24"/>
          <w:szCs w:val="24"/>
          <w:shd w:val="clear" w:color="auto" w:fill="FFFFFF"/>
        </w:rPr>
        <w:t>S</w:t>
      </w:r>
      <w:r w:rsidR="00A56D44">
        <w:rPr>
          <w:rFonts w:ascii="Times New Roman" w:hAnsi="Times New Roman" w:cs="Times New Roman"/>
          <w:color w:val="000000" w:themeColor="text1"/>
          <w:sz w:val="24"/>
          <w:szCs w:val="24"/>
          <w:shd w:val="clear" w:color="auto" w:fill="FFFFFF"/>
        </w:rPr>
        <w:t>eh</w:t>
      </w:r>
      <w:r w:rsidR="00205837">
        <w:rPr>
          <w:rFonts w:ascii="Times New Roman" w:hAnsi="Times New Roman" w:cs="Times New Roman"/>
          <w:color w:val="000000" w:themeColor="text1"/>
          <w:sz w:val="24"/>
          <w:szCs w:val="24"/>
          <w:shd w:val="clear" w:color="auto" w:fill="FFFFFF"/>
        </w:rPr>
        <w:t xml:space="preserve"> et al., 2020</w:t>
      </w:r>
      <w:r w:rsidR="00CF34DB">
        <w:rPr>
          <w:rFonts w:ascii="Times New Roman" w:hAnsi="Times New Roman" w:cs="Times New Roman"/>
          <w:color w:val="000000" w:themeColor="text1"/>
          <w:sz w:val="24"/>
          <w:szCs w:val="24"/>
          <w:shd w:val="clear" w:color="auto" w:fill="FFFFFF"/>
        </w:rPr>
        <w:t xml:space="preserve">). </w:t>
      </w:r>
      <w:r w:rsidR="00FD47FD">
        <w:rPr>
          <w:rFonts w:ascii="Times New Roman" w:hAnsi="Times New Roman" w:cs="Times New Roman"/>
          <w:color w:val="000000" w:themeColor="text1"/>
          <w:sz w:val="24"/>
          <w:szCs w:val="24"/>
          <w:shd w:val="clear" w:color="auto" w:fill="FFFFFF"/>
        </w:rPr>
        <w:t xml:space="preserve">Despite cloud computing being common, </w:t>
      </w:r>
      <w:r w:rsidR="0074450C">
        <w:rPr>
          <w:rFonts w:ascii="Times New Roman" w:hAnsi="Times New Roman" w:cs="Times New Roman"/>
          <w:color w:val="000000" w:themeColor="text1"/>
          <w:sz w:val="24"/>
          <w:szCs w:val="24"/>
          <w:shd w:val="clear" w:color="auto" w:fill="FFFFFF"/>
        </w:rPr>
        <w:t xml:space="preserve">some organizations continue to rely on encrypted backups stored at secure and remote facilities. </w:t>
      </w:r>
      <w:r w:rsidR="00A6378A">
        <w:rPr>
          <w:rFonts w:ascii="Times New Roman" w:hAnsi="Times New Roman" w:cs="Times New Roman"/>
          <w:color w:val="000000" w:themeColor="text1"/>
          <w:sz w:val="24"/>
          <w:szCs w:val="24"/>
          <w:shd w:val="clear" w:color="auto" w:fill="FFFFFF"/>
        </w:rPr>
        <w:t xml:space="preserve">Physical backup storage </w:t>
      </w:r>
      <w:r w:rsidR="002025FB">
        <w:rPr>
          <w:rFonts w:ascii="Times New Roman" w:hAnsi="Times New Roman" w:cs="Times New Roman"/>
          <w:color w:val="000000" w:themeColor="text1"/>
          <w:sz w:val="24"/>
          <w:szCs w:val="24"/>
          <w:shd w:val="clear" w:color="auto" w:fill="FFFFFF"/>
        </w:rPr>
        <w:t>includes</w:t>
      </w:r>
      <w:r w:rsidR="00A6378A">
        <w:rPr>
          <w:rFonts w:ascii="Times New Roman" w:hAnsi="Times New Roman" w:cs="Times New Roman"/>
          <w:color w:val="000000" w:themeColor="text1"/>
          <w:sz w:val="24"/>
          <w:szCs w:val="24"/>
          <w:shd w:val="clear" w:color="auto" w:fill="FFFFFF"/>
        </w:rPr>
        <w:t xml:space="preserve"> data tapes or external hard drives stored in disaster-resistant locations. </w:t>
      </w:r>
      <w:r w:rsidR="00021D7F">
        <w:rPr>
          <w:rFonts w:ascii="Times New Roman" w:hAnsi="Times New Roman" w:cs="Times New Roman"/>
          <w:color w:val="000000" w:themeColor="text1"/>
          <w:sz w:val="24"/>
          <w:szCs w:val="24"/>
          <w:shd w:val="clear" w:color="auto" w:fill="FFFFFF"/>
        </w:rPr>
        <w:t xml:space="preserve">Therefore, this ensures access in case of cyber attacks or network failures. </w:t>
      </w:r>
    </w:p>
    <w:p w14:paraId="5DD8A116" w14:textId="58C5E999" w:rsidR="00E94018" w:rsidRPr="002025FB" w:rsidRDefault="00E94018" w:rsidP="00E94018">
      <w:pPr>
        <w:pStyle w:val="ListParagraph"/>
        <w:numPr>
          <w:ilvl w:val="0"/>
          <w:numId w:val="1"/>
        </w:numPr>
        <w:spacing w:line="480" w:lineRule="auto"/>
        <w:rPr>
          <w:rFonts w:ascii="Times New Roman" w:hAnsi="Times New Roman" w:cs="Times New Roman"/>
          <w:color w:val="000000" w:themeColor="text1"/>
          <w:sz w:val="24"/>
          <w:szCs w:val="24"/>
        </w:rPr>
      </w:pPr>
      <w:r w:rsidRPr="00E94018">
        <w:rPr>
          <w:rFonts w:ascii="Times New Roman" w:hAnsi="Times New Roman" w:cs="Times New Roman"/>
          <w:color w:val="000000" w:themeColor="text1"/>
          <w:sz w:val="24"/>
          <w:szCs w:val="24"/>
          <w:shd w:val="clear" w:color="auto" w:fill="FFFFFF"/>
        </w:rPr>
        <w:t>Describe at least one financial and one nonfinancial cost associated with a disaster that affects health care informatics systems</w:t>
      </w:r>
    </w:p>
    <w:p w14:paraId="3B9F7018" w14:textId="33A5E7EB" w:rsidR="002025FB" w:rsidRDefault="002025FB" w:rsidP="002025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financial cost associated with a disaster affecting healthcare informatics systems is system downtime and recovery expenses. This is because disasters can cause system outages that halt documentation processes, scheduling and billing. Studies indicate that the average cost of data breach in healthcare is approximately </w:t>
      </w:r>
      <w:r w:rsidR="00A56D44">
        <w:rPr>
          <w:rFonts w:ascii="Times New Roman" w:hAnsi="Times New Roman" w:cs="Times New Roman"/>
          <w:color w:val="000000" w:themeColor="text1"/>
          <w:sz w:val="24"/>
          <w:szCs w:val="24"/>
        </w:rPr>
        <w:t xml:space="preserve">$ 6.45 million </w:t>
      </w:r>
      <w:r>
        <w:rPr>
          <w:rFonts w:ascii="Times New Roman" w:hAnsi="Times New Roman" w:cs="Times New Roman"/>
          <w:color w:val="000000" w:themeColor="text1"/>
          <w:sz w:val="24"/>
          <w:szCs w:val="24"/>
        </w:rPr>
        <w:t>(</w:t>
      </w:r>
      <w:r w:rsidR="00B635DE">
        <w:rPr>
          <w:rFonts w:ascii="Times New Roman" w:hAnsi="Times New Roman" w:cs="Times New Roman"/>
          <w:color w:val="000000" w:themeColor="text1"/>
          <w:sz w:val="24"/>
          <w:szCs w:val="24"/>
          <w:shd w:val="clear" w:color="auto" w:fill="FFFFFF"/>
        </w:rPr>
        <w:t>Seh et al., 2020</w:t>
      </w:r>
      <w:r>
        <w:rPr>
          <w:rFonts w:ascii="Times New Roman" w:hAnsi="Times New Roman" w:cs="Times New Roman"/>
          <w:color w:val="000000" w:themeColor="text1"/>
          <w:sz w:val="24"/>
          <w:szCs w:val="24"/>
        </w:rPr>
        <w:t>).</w:t>
      </w:r>
      <w:r w:rsidR="00523C92">
        <w:rPr>
          <w:rFonts w:ascii="Times New Roman" w:hAnsi="Times New Roman" w:cs="Times New Roman"/>
          <w:color w:val="000000" w:themeColor="text1"/>
          <w:sz w:val="24"/>
          <w:szCs w:val="24"/>
        </w:rPr>
        <w:t xml:space="preserve"> Loss of care continuity </w:t>
      </w:r>
      <w:r w:rsidR="00523C92">
        <w:rPr>
          <w:rFonts w:ascii="Times New Roman" w:hAnsi="Times New Roman" w:cs="Times New Roman"/>
          <w:color w:val="000000" w:themeColor="text1"/>
          <w:sz w:val="24"/>
          <w:szCs w:val="24"/>
        </w:rPr>
        <w:lastRenderedPageBreak/>
        <w:t xml:space="preserve">and patient trust is a nonfinancial cost associated with disaster because failure of healthcare systems could result into duplication in treatment, errors and delays due to lack of accessing a patient’s medical history. </w:t>
      </w:r>
      <w:r w:rsidR="000C4020">
        <w:rPr>
          <w:rFonts w:ascii="Times New Roman" w:hAnsi="Times New Roman" w:cs="Times New Roman"/>
          <w:color w:val="000000" w:themeColor="text1"/>
          <w:sz w:val="24"/>
          <w:szCs w:val="24"/>
        </w:rPr>
        <w:t>The 2017 WannaCry ransomware attack in the UK forced the healthcare system to cancel various appointments, an issue that demonstrates how disruptions cause public mistrust (</w:t>
      </w:r>
      <w:r w:rsidR="00A50400" w:rsidRPr="00B169E8">
        <w:rPr>
          <w:rFonts w:ascii="Times New Roman" w:hAnsi="Times New Roman" w:cs="Times New Roman"/>
          <w:color w:val="000000" w:themeColor="text1"/>
          <w:sz w:val="24"/>
          <w:szCs w:val="24"/>
          <w:shd w:val="clear" w:color="auto" w:fill="FFFFFF"/>
        </w:rPr>
        <w:t>Prevezianou</w:t>
      </w:r>
      <w:r w:rsidR="00A50400">
        <w:rPr>
          <w:rFonts w:ascii="Times New Roman" w:hAnsi="Times New Roman" w:cs="Times New Roman"/>
          <w:color w:val="000000" w:themeColor="text1"/>
          <w:sz w:val="24"/>
          <w:szCs w:val="24"/>
          <w:shd w:val="clear" w:color="auto" w:fill="FFFFFF"/>
        </w:rPr>
        <w:t>, 2021</w:t>
      </w:r>
      <w:r w:rsidR="000C4020">
        <w:rPr>
          <w:rFonts w:ascii="Times New Roman" w:hAnsi="Times New Roman" w:cs="Times New Roman"/>
          <w:color w:val="000000" w:themeColor="text1"/>
          <w:sz w:val="24"/>
          <w:szCs w:val="24"/>
        </w:rPr>
        <w:t xml:space="preserve">). </w:t>
      </w:r>
      <w:r w:rsidR="00207438">
        <w:rPr>
          <w:rFonts w:ascii="Times New Roman" w:hAnsi="Times New Roman" w:cs="Times New Roman"/>
          <w:color w:val="000000" w:themeColor="text1"/>
          <w:sz w:val="24"/>
          <w:szCs w:val="24"/>
        </w:rPr>
        <w:t xml:space="preserve">I have experienced working on a nursing unit during a power outage where I saw the importance of local server backups and manual downtime forms. </w:t>
      </w:r>
      <w:r w:rsidR="00F96E62">
        <w:rPr>
          <w:rFonts w:ascii="Times New Roman" w:hAnsi="Times New Roman" w:cs="Times New Roman"/>
          <w:color w:val="000000" w:themeColor="text1"/>
          <w:sz w:val="24"/>
          <w:szCs w:val="24"/>
        </w:rPr>
        <w:t xml:space="preserve">Nurses had to rely on handwritten notes and verbal reports, an issue that </w:t>
      </w:r>
      <w:r w:rsidR="00A7282A">
        <w:rPr>
          <w:rFonts w:ascii="Times New Roman" w:hAnsi="Times New Roman" w:cs="Times New Roman"/>
          <w:color w:val="000000" w:themeColor="text1"/>
          <w:sz w:val="24"/>
          <w:szCs w:val="24"/>
        </w:rPr>
        <w:t xml:space="preserve">reminded me of the essence of having a strategized recovery plan. </w:t>
      </w:r>
    </w:p>
    <w:p w14:paraId="44C2BEC2"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3607B06E"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34DE4403"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3EA2C088"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7862895A"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5C4EB698"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2522054F"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1876184C"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54FB7606"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624B00CC"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7BE3AB18"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582C1A72" w14:textId="77777777" w:rsidR="003243AF" w:rsidRDefault="003243AF" w:rsidP="0045493C">
      <w:pPr>
        <w:spacing w:line="480" w:lineRule="auto"/>
        <w:jc w:val="center"/>
        <w:rPr>
          <w:rFonts w:ascii="Times New Roman" w:hAnsi="Times New Roman" w:cs="Times New Roman"/>
          <w:b/>
          <w:bCs/>
          <w:color w:val="000000" w:themeColor="text1"/>
          <w:sz w:val="24"/>
          <w:szCs w:val="24"/>
        </w:rPr>
      </w:pPr>
    </w:p>
    <w:p w14:paraId="4FC23691" w14:textId="6827C136" w:rsidR="003E07DA" w:rsidRDefault="003E07DA" w:rsidP="0045493C">
      <w:pPr>
        <w:spacing w:line="480" w:lineRule="auto"/>
        <w:jc w:val="center"/>
        <w:rPr>
          <w:rFonts w:ascii="Times New Roman" w:hAnsi="Times New Roman" w:cs="Times New Roman"/>
          <w:b/>
          <w:bCs/>
          <w:color w:val="000000" w:themeColor="text1"/>
          <w:sz w:val="24"/>
          <w:szCs w:val="24"/>
        </w:rPr>
      </w:pPr>
      <w:r w:rsidRPr="0045493C">
        <w:rPr>
          <w:rFonts w:ascii="Times New Roman" w:hAnsi="Times New Roman" w:cs="Times New Roman"/>
          <w:b/>
          <w:bCs/>
          <w:color w:val="000000" w:themeColor="text1"/>
          <w:sz w:val="24"/>
          <w:szCs w:val="24"/>
        </w:rPr>
        <w:lastRenderedPageBreak/>
        <w:t>References</w:t>
      </w:r>
    </w:p>
    <w:p w14:paraId="5C5D94F9" w14:textId="77777777" w:rsidR="00B169E8" w:rsidRDefault="00A12F11" w:rsidP="00A12F11">
      <w:pPr>
        <w:spacing w:line="480" w:lineRule="auto"/>
        <w:rPr>
          <w:rFonts w:ascii="Times New Roman" w:hAnsi="Times New Roman" w:cs="Times New Roman"/>
          <w:i/>
          <w:iCs/>
          <w:color w:val="000000" w:themeColor="text1"/>
          <w:sz w:val="24"/>
          <w:szCs w:val="24"/>
          <w:shd w:val="clear" w:color="auto" w:fill="FFFFFF"/>
        </w:rPr>
      </w:pPr>
      <w:r w:rsidRPr="00B169E8">
        <w:rPr>
          <w:rFonts w:ascii="Times New Roman" w:hAnsi="Times New Roman" w:cs="Times New Roman"/>
          <w:color w:val="000000" w:themeColor="text1"/>
          <w:sz w:val="24"/>
          <w:szCs w:val="24"/>
          <w:shd w:val="clear" w:color="auto" w:fill="FFFFFF"/>
        </w:rPr>
        <w:t xml:space="preserve">Prevezianou, M. F. (2021). </w:t>
      </w:r>
      <w:proofErr w:type="spellStart"/>
      <w:r w:rsidRPr="00B169E8">
        <w:rPr>
          <w:rFonts w:ascii="Times New Roman" w:hAnsi="Times New Roman" w:cs="Times New Roman"/>
          <w:color w:val="000000" w:themeColor="text1"/>
          <w:sz w:val="24"/>
          <w:szCs w:val="24"/>
          <w:shd w:val="clear" w:color="auto" w:fill="FFFFFF"/>
        </w:rPr>
        <w:t>Wannacry</w:t>
      </w:r>
      <w:proofErr w:type="spellEnd"/>
      <w:r w:rsidRPr="00B169E8">
        <w:rPr>
          <w:rFonts w:ascii="Times New Roman" w:hAnsi="Times New Roman" w:cs="Times New Roman"/>
          <w:color w:val="000000" w:themeColor="text1"/>
          <w:sz w:val="24"/>
          <w:szCs w:val="24"/>
          <w:shd w:val="clear" w:color="auto" w:fill="FFFFFF"/>
        </w:rPr>
        <w:t xml:space="preserve"> as a creeping crisis. In </w:t>
      </w:r>
      <w:r w:rsidRPr="00B169E8">
        <w:rPr>
          <w:rFonts w:ascii="Times New Roman" w:hAnsi="Times New Roman" w:cs="Times New Roman"/>
          <w:i/>
          <w:iCs/>
          <w:color w:val="000000" w:themeColor="text1"/>
          <w:sz w:val="24"/>
          <w:szCs w:val="24"/>
          <w:shd w:val="clear" w:color="auto" w:fill="FFFFFF"/>
        </w:rPr>
        <w:t xml:space="preserve">Understanding the Creeping </w:t>
      </w:r>
    </w:p>
    <w:p w14:paraId="645FA11F" w14:textId="5AF3924E" w:rsidR="00A12F11" w:rsidRPr="00B169E8" w:rsidRDefault="00A12F11" w:rsidP="00B169E8">
      <w:pPr>
        <w:spacing w:line="480" w:lineRule="auto"/>
        <w:ind w:left="720"/>
        <w:rPr>
          <w:rFonts w:ascii="Times New Roman" w:hAnsi="Times New Roman" w:cs="Times New Roman"/>
          <w:b/>
          <w:bCs/>
          <w:color w:val="000000" w:themeColor="text1"/>
          <w:sz w:val="24"/>
          <w:szCs w:val="24"/>
        </w:rPr>
      </w:pPr>
      <w:r w:rsidRPr="00B169E8">
        <w:rPr>
          <w:rFonts w:ascii="Times New Roman" w:hAnsi="Times New Roman" w:cs="Times New Roman"/>
          <w:i/>
          <w:iCs/>
          <w:color w:val="000000" w:themeColor="text1"/>
          <w:sz w:val="24"/>
          <w:szCs w:val="24"/>
          <w:shd w:val="clear" w:color="auto" w:fill="FFFFFF"/>
        </w:rPr>
        <w:t>Crisis</w:t>
      </w:r>
      <w:r w:rsidRPr="00B169E8">
        <w:rPr>
          <w:rFonts w:ascii="Times New Roman" w:hAnsi="Times New Roman" w:cs="Times New Roman"/>
          <w:color w:val="000000" w:themeColor="text1"/>
          <w:sz w:val="24"/>
          <w:szCs w:val="24"/>
          <w:shd w:val="clear" w:color="auto" w:fill="FFFFFF"/>
        </w:rPr>
        <w:t> (pp. 37-50). Cham: Springer International Publishing.</w:t>
      </w:r>
      <w:r w:rsidR="00F87910" w:rsidRPr="00B169E8">
        <w:rPr>
          <w:rFonts w:ascii="Times New Roman" w:hAnsi="Times New Roman" w:cs="Times New Roman"/>
          <w:color w:val="000000" w:themeColor="text1"/>
          <w:sz w:val="24"/>
          <w:szCs w:val="24"/>
          <w:shd w:val="clear" w:color="auto" w:fill="FFFFFF"/>
        </w:rPr>
        <w:t xml:space="preserve"> </w:t>
      </w:r>
      <w:hyperlink r:id="rId5" w:history="1">
        <w:r w:rsidR="00B169E8" w:rsidRPr="00F95647">
          <w:rPr>
            <w:rStyle w:val="Hyperlink"/>
            <w:rFonts w:ascii="Times New Roman" w:hAnsi="Times New Roman" w:cs="Times New Roman"/>
            <w:sz w:val="24"/>
            <w:szCs w:val="24"/>
            <w:shd w:val="clear" w:color="auto" w:fill="FFFFFF"/>
          </w:rPr>
          <w:t>https://doi.org/10.1007/978-3-030-70692-0_3</w:t>
        </w:r>
      </w:hyperlink>
      <w:r w:rsidR="00B169E8">
        <w:rPr>
          <w:rFonts w:ascii="Times New Roman" w:hAnsi="Times New Roman" w:cs="Times New Roman"/>
          <w:color w:val="000000" w:themeColor="text1"/>
          <w:sz w:val="24"/>
          <w:szCs w:val="24"/>
          <w:shd w:val="clear" w:color="auto" w:fill="FFFFFF"/>
        </w:rPr>
        <w:t xml:space="preserve"> </w:t>
      </w:r>
    </w:p>
    <w:p w14:paraId="088510CF" w14:textId="77777777" w:rsidR="00063283" w:rsidRDefault="003E07DA" w:rsidP="002025FB">
      <w:pPr>
        <w:spacing w:line="480" w:lineRule="auto"/>
        <w:rPr>
          <w:rFonts w:ascii="Times New Roman" w:hAnsi="Times New Roman" w:cs="Times New Roman"/>
          <w:color w:val="000000" w:themeColor="text1"/>
          <w:sz w:val="24"/>
          <w:szCs w:val="24"/>
          <w:shd w:val="clear" w:color="auto" w:fill="FFFFFF"/>
        </w:rPr>
      </w:pPr>
      <w:r w:rsidRPr="00063283">
        <w:rPr>
          <w:rFonts w:ascii="Times New Roman" w:hAnsi="Times New Roman" w:cs="Times New Roman"/>
          <w:color w:val="000000" w:themeColor="text1"/>
          <w:sz w:val="24"/>
          <w:szCs w:val="24"/>
          <w:shd w:val="clear" w:color="auto" w:fill="FFFFFF"/>
        </w:rPr>
        <w:t xml:space="preserve">Seh, A. H., Zarour, M., </w:t>
      </w:r>
      <w:proofErr w:type="spellStart"/>
      <w:r w:rsidRPr="00063283">
        <w:rPr>
          <w:rFonts w:ascii="Times New Roman" w:hAnsi="Times New Roman" w:cs="Times New Roman"/>
          <w:color w:val="000000" w:themeColor="text1"/>
          <w:sz w:val="24"/>
          <w:szCs w:val="24"/>
          <w:shd w:val="clear" w:color="auto" w:fill="FFFFFF"/>
        </w:rPr>
        <w:t>Alenezi</w:t>
      </w:r>
      <w:proofErr w:type="spellEnd"/>
      <w:r w:rsidRPr="00063283">
        <w:rPr>
          <w:rFonts w:ascii="Times New Roman" w:hAnsi="Times New Roman" w:cs="Times New Roman"/>
          <w:color w:val="000000" w:themeColor="text1"/>
          <w:sz w:val="24"/>
          <w:szCs w:val="24"/>
          <w:shd w:val="clear" w:color="auto" w:fill="FFFFFF"/>
        </w:rPr>
        <w:t xml:space="preserve">, M., Sarkar, A. K., Agrawal, A., Kumar, R., &amp; Ahmad Khan, R. </w:t>
      </w:r>
    </w:p>
    <w:p w14:paraId="27B35263" w14:textId="3BF0A0B3" w:rsidR="003E07DA" w:rsidRPr="00063283" w:rsidRDefault="003E07DA" w:rsidP="00063283">
      <w:pPr>
        <w:spacing w:line="480" w:lineRule="auto"/>
        <w:ind w:left="720"/>
        <w:rPr>
          <w:rFonts w:ascii="Times New Roman" w:hAnsi="Times New Roman" w:cs="Times New Roman"/>
          <w:color w:val="000000" w:themeColor="text1"/>
          <w:sz w:val="24"/>
          <w:szCs w:val="24"/>
        </w:rPr>
      </w:pPr>
      <w:r w:rsidRPr="00063283">
        <w:rPr>
          <w:rFonts w:ascii="Times New Roman" w:hAnsi="Times New Roman" w:cs="Times New Roman"/>
          <w:color w:val="000000" w:themeColor="text1"/>
          <w:sz w:val="24"/>
          <w:szCs w:val="24"/>
          <w:shd w:val="clear" w:color="auto" w:fill="FFFFFF"/>
        </w:rPr>
        <w:t>(2020, May). Healthcare data breaches: insights and implications. In </w:t>
      </w:r>
      <w:r w:rsidRPr="00063283">
        <w:rPr>
          <w:rFonts w:ascii="Times New Roman" w:hAnsi="Times New Roman" w:cs="Times New Roman"/>
          <w:i/>
          <w:iCs/>
          <w:color w:val="000000" w:themeColor="text1"/>
          <w:sz w:val="24"/>
          <w:szCs w:val="24"/>
          <w:shd w:val="clear" w:color="auto" w:fill="FFFFFF"/>
        </w:rPr>
        <w:t>Healthcare</w:t>
      </w:r>
      <w:r w:rsidRPr="00063283">
        <w:rPr>
          <w:rFonts w:ascii="Times New Roman" w:hAnsi="Times New Roman" w:cs="Times New Roman"/>
          <w:color w:val="000000" w:themeColor="text1"/>
          <w:sz w:val="24"/>
          <w:szCs w:val="24"/>
          <w:shd w:val="clear" w:color="auto" w:fill="FFFFFF"/>
        </w:rPr>
        <w:t> (Vol. 8, No. 2, p. 133). MDPI.</w:t>
      </w:r>
      <w:r w:rsidR="0045493C" w:rsidRPr="00063283">
        <w:rPr>
          <w:rFonts w:ascii="Times New Roman" w:hAnsi="Times New Roman" w:cs="Times New Roman"/>
          <w:color w:val="000000" w:themeColor="text1"/>
          <w:sz w:val="24"/>
          <w:szCs w:val="24"/>
          <w:shd w:val="clear" w:color="auto" w:fill="FFFFFF"/>
        </w:rPr>
        <w:t xml:space="preserve"> </w:t>
      </w:r>
      <w:hyperlink r:id="rId6" w:history="1">
        <w:r w:rsidR="00205837" w:rsidRPr="00F95647">
          <w:rPr>
            <w:rStyle w:val="Hyperlink"/>
            <w:rFonts w:ascii="Times New Roman" w:hAnsi="Times New Roman" w:cs="Times New Roman"/>
            <w:sz w:val="24"/>
            <w:szCs w:val="24"/>
            <w:shd w:val="clear" w:color="auto" w:fill="FFFFFF"/>
          </w:rPr>
          <w:t>https://doi.org/10.3390/healthcare8020133</w:t>
        </w:r>
      </w:hyperlink>
      <w:r w:rsidR="00205837">
        <w:rPr>
          <w:rFonts w:ascii="Times New Roman" w:hAnsi="Times New Roman" w:cs="Times New Roman"/>
          <w:color w:val="000000" w:themeColor="text1"/>
          <w:sz w:val="24"/>
          <w:szCs w:val="24"/>
          <w:shd w:val="clear" w:color="auto" w:fill="FFFFFF"/>
        </w:rPr>
        <w:t xml:space="preserve"> </w:t>
      </w:r>
    </w:p>
    <w:sectPr w:rsidR="003E07DA" w:rsidRPr="0006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3320D"/>
    <w:multiLevelType w:val="hybridMultilevel"/>
    <w:tmpl w:val="80BAF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DA"/>
    <w:rsid w:val="00021D7F"/>
    <w:rsid w:val="00063283"/>
    <w:rsid w:val="000C4020"/>
    <w:rsid w:val="00185551"/>
    <w:rsid w:val="002025FB"/>
    <w:rsid w:val="00205837"/>
    <w:rsid w:val="00207438"/>
    <w:rsid w:val="002B1750"/>
    <w:rsid w:val="003243AF"/>
    <w:rsid w:val="003E07DA"/>
    <w:rsid w:val="004119DA"/>
    <w:rsid w:val="0045493C"/>
    <w:rsid w:val="004F7E9F"/>
    <w:rsid w:val="00502F3A"/>
    <w:rsid w:val="00523C92"/>
    <w:rsid w:val="0074450C"/>
    <w:rsid w:val="00A12F11"/>
    <w:rsid w:val="00A50400"/>
    <w:rsid w:val="00A56D44"/>
    <w:rsid w:val="00A6378A"/>
    <w:rsid w:val="00A7282A"/>
    <w:rsid w:val="00B169E8"/>
    <w:rsid w:val="00B256C7"/>
    <w:rsid w:val="00B635DE"/>
    <w:rsid w:val="00BC6A98"/>
    <w:rsid w:val="00CF34DB"/>
    <w:rsid w:val="00E94018"/>
    <w:rsid w:val="00F30A92"/>
    <w:rsid w:val="00F87910"/>
    <w:rsid w:val="00F96E62"/>
    <w:rsid w:val="00FD47FD"/>
    <w:rsid w:val="00FD5A78"/>
    <w:rsid w:val="00FF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1385"/>
  <w15:chartTrackingRefBased/>
  <w15:docId w15:val="{565B5291-20AB-4A24-B621-694D425E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018"/>
    <w:pPr>
      <w:ind w:left="720"/>
      <w:contextualSpacing/>
    </w:pPr>
  </w:style>
  <w:style w:type="character" w:styleId="Hyperlink">
    <w:name w:val="Hyperlink"/>
    <w:basedOn w:val="DefaultParagraphFont"/>
    <w:uiPriority w:val="99"/>
    <w:unhideWhenUsed/>
    <w:rsid w:val="00205837"/>
    <w:rPr>
      <w:color w:val="0563C1" w:themeColor="hyperlink"/>
      <w:u w:val="single"/>
    </w:rPr>
  </w:style>
  <w:style w:type="character" w:styleId="UnresolvedMention">
    <w:name w:val="Unresolved Mention"/>
    <w:basedOn w:val="DefaultParagraphFont"/>
    <w:uiPriority w:val="99"/>
    <w:semiHidden/>
    <w:unhideWhenUsed/>
    <w:rsid w:val="0020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healthcare8020133" TargetMode="External"/><Relationship Id="rId5" Type="http://schemas.openxmlformats.org/officeDocument/2006/relationships/hyperlink" Target="https://doi.org/10.1007/978-3-030-70692-0_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CMWANGI</dc:creator>
  <cp:keywords/>
  <dc:description/>
  <cp:lastModifiedBy>CMWANGI</cp:lastModifiedBy>
  <cp:revision>32</cp:revision>
  <dcterms:created xsi:type="dcterms:W3CDTF">2025-05-20T03:00:00Z</dcterms:created>
  <dcterms:modified xsi:type="dcterms:W3CDTF">2025-05-20T03:36:00Z</dcterms:modified>
</cp:coreProperties>
</file>